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/>
        <w:jc w:val="center"/>
      </w:pPr>
      <w:r>
        <w:rPr>
          <w:rFonts w:ascii="Times New Roman" w:cs="Traditional Arabic" w:hAnsi="Times New Roman"/>
          <w:b/>
          <w:bCs/>
          <w:color w:val="1F5C4A"/>
          <w:sz w:val="40"/>
          <w:szCs w:val="48"/>
          <w:rtl w:val="false"/>
        </w:rPr>
        <w:t xml:space="preserve">Le Fiqh contemporain</w:t>
      </w:r>
    </w:p>
    <w:p>
      <w:pPr>
        <w:bidi/>
        <w:spacing w:after="80"/>
        <w:jc w:val="center"/>
      </w:pPr>
      <w:r>
        <w:rPr>
          <w:rFonts w:ascii="Times New Roman" w:cs="Traditional Arabic" w:hAnsi="Times New Roman"/>
          <w:b/>
          <w:bCs/>
          <w:color w:val="1F5C4A"/>
          <w:sz w:val="36"/>
          <w:szCs w:val="48"/>
          <w:rtl/>
        </w:rPr>
        <w:t xml:space="preserve">الفِقْهُ المُعَاصِرُ</w:t>
      </w:r>
    </w:p>
    <w:p>
      <w:pPr>
        <w:pBdr>
          <w:bottom w:val="single" w:color="1F5C4A" w:sz="8" w:space="6"/>
        </w:pBdr>
        <w:spacing w:after="240"/>
        <w:jc w:val="center"/>
      </w:pPr>
      <w:r>
        <w:rPr>
          <w:rFonts w:ascii="Times New Roman" w:cs="Traditional Arabic" w:hAnsi="Times New Roman"/>
          <w:i/>
          <w:iCs/>
          <w:sz w:val="22"/>
          <w:szCs w:val="30"/>
          <w:rtl w:val="false"/>
        </w:rPr>
        <w:t xml:space="preserve">Définition, thèmes, questions et méthodologie — tableaux bilingues arabe-français</w:t>
      </w:r>
    </w:p>
    <w:p>
      <w:pPr>
        <w:pStyle w:val="Heading1"/>
        <w:spacing w:after="160" w:before="360"/>
      </w:pPr>
      <w:r>
        <w:rPr>
          <w:rFonts w:ascii="Times New Roman" w:cs="Traditional Arabic" w:hAnsi="Times New Roman"/>
          <w:b/>
          <w:bCs/>
          <w:color w:val="1F5C4A"/>
          <w:sz w:val="28"/>
          <w:szCs w:val="36"/>
          <w:rtl w:val="false"/>
        </w:rPr>
        <w:t xml:space="preserve">Tableau 1 : Présentation générale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869"/>
        <w:gridCol w:w="3869"/>
      </w:tblGrid>
      <w:tr>
        <w:trPr>
          <w:tblHeader/>
        </w:trPr>
        <w:tc>
          <w:tcPr>
            <w:tcW w:type="dxa" w:w="19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العُنْصُرُ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بِاللُّغَةِ العَرَبِيَّةِ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En français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الِاسْمُ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/>
              </w:rPr>
              <w:t xml:space="preserve">الفِقْهُ المُعَاصِرُ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Le fiqh contemporain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التَّعْرِيفُ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/>
              </w:rPr>
              <w:t xml:space="preserve">العِلْمُ بِالأَحْكَامِ الشَّرْعِيَّةِ العَمَلِيَّةِ المُسْتَنْبَطَةِ مِنْ أَدِلَّتِهَا التَّفْصِيلِيَّةِ لِمُعَالَجَةِ النَّوَازِلِ وَالقَضَايَا المُسْتَجِدَّةِ فِي العَصْرِ الحَاضِرِ</w:t>
            </w: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.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Science des règles pratiques de la loi islamique visant à traiter les questions nouvelles et les défis du monde moderne à partir des sources de l'islam.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الهَدَفُ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/>
              </w:rPr>
              <w:t xml:space="preserve">بَيَانُ الحُكْمِ الشَّرْعِيِّ لِلنَّوَازِلِ المُعَاصِرَةِ وَتَحْقِيقُ مَقَاصِدِ الشَّرِيعَةِ</w:t>
            </w: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.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Déterminer les jugements juridiques des questions contemporaines tout en réalisant les objectifs de la Charia.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المُصْطَلَحَاتُ المُرَادِفَةُ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/>
              </w:rPr>
              <w:t xml:space="preserve">فِقْهُ النَّوَازِلِ، فِقْهُ المُسْتَجِدَّاتِ، فِقْهُ الوَاقِعِ، القَضَايَا الفِقْهِيَّةُ المُعَاصِرَةُ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Termes voisins : fiqh des questions inédites (nawāzil), fiqh des nouveautés, fiqh de la réalité, questions juridiques contemporaines.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المَصَادِرُ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/>
              </w:rPr>
              <w:t xml:space="preserve">القُرْآنُ، السُّنَّةُ، الإِجْمَاعُ، القِيَاسُ، ثُمَّ المَصْلَحَةُ المُرْسَلَةُ، وَالعُرْفُ، وَسَدُّ الذَّرَائِعِ، وَاعْتِبَارُ المَآلَاتِ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Coran, Sunna, consensus, analogie, puis intérêt général, coutume, prévention des moyens menant au mal et prise en compte des conséquences.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الخَصَائِصُ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/>
              </w:rPr>
              <w:t xml:space="preserve">الِاجْتِهَادُ الجَمَاعِيُّ، التَّيْسِيرُ وَرَفْعُ الحَرَجِ، مُرَاعَاةُ الوَاقِعِ، الِاسْتِعَانَةُ بِأَهْلِ الِاخْتِصَاصِ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Ijtihad collectif, recherche de la facilité et levée de la gêne, prise en compte du réel, recours aux experts (médecins, économistes, ingénieurs).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الأَهَمِّيَّةُ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/>
              </w:rPr>
              <w:t xml:space="preserve">إِثْبَاتُ صَلَاحِيَّةِ الشَّرِيعَةِ لِكُلِّ زَمَانٍ وَمَكَانٍ</w:t>
            </w:r>
          </w:p>
        </w:tc>
        <w:tc>
          <w:tcPr>
            <w:tcW w:type="dxa" w:w="386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Montrer que la Charia reste applicable en tout temps et en tout lieu, et répondre aux besoins réels des musulmans.</w:t>
            </w:r>
          </w:p>
        </w:tc>
      </w:tr>
    </w:tbl>
    <w:p>
      <w:pPr>
        <w:pStyle w:val="Heading1"/>
        <w:spacing w:after="160" w:before="360"/>
      </w:pPr>
      <w:r>
        <w:rPr>
          <w:rFonts w:ascii="Times New Roman" w:cs="Traditional Arabic" w:hAnsi="Times New Roman"/>
          <w:b/>
          <w:bCs/>
          <w:color w:val="1F5C4A"/>
          <w:sz w:val="28"/>
          <w:szCs w:val="36"/>
          <w:rtl w:val="false"/>
        </w:rPr>
        <w:t xml:space="preserve">Tableau 2 : Vue d'ensemble des thèmes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3519"/>
        <w:gridCol w:w="3519"/>
      </w:tblGrid>
      <w:tr>
        <w:trPr>
          <w:tblHeader/>
        </w:trPr>
        <w:tc>
          <w:tcPr>
            <w:tcW w:type="dxa" w:w="2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المَوْضُوعُ بِالعَرَبِيَّةِ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Thème en français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Champ couvert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فِقْهُ المُعَامَلَاتِ المَالِيَّةِ المُعَاصِرَةِ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Finance et transactions modernes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Banques, assurances, bourse, monnaies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فِقْهُ النَّوَازِلِ الطِّبِّيَّةِ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Bioéthique et médecine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Greffes, procréation, fin de vie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فِقْهُ العِبَادَاتِ المُعَاصِرُ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Rites dans le contexte moderne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Prière, jeûne, zakât, hajj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فِقْهُ الأُسْرَةِ المُعَاصِرُ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Droit de la famille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Mariage, filiation, planification familiale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فِقْهُ الأَقَلِّيَّاتِ المُسْلِمَةِ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Fiqh des minorités musulmanes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Vie en contexte non musulman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الفِقْهُ السِّيَاسِيُّ المُعَاصِرُ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Fiqh politique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État, citoyenneté, participation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فِقْهُ النَّوَازِلِ الرَّقْمِيَّةِ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Fiqh du numérique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Commerce en ligne, IA, vie privée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فِقْهُ البِيئَةِ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Fiqh de l'environnement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Pollution, eau, ressources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فِقْهُ الأَطْعِمَةِ وَالأَدْوِيَةِ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Alimentation et médicaments</w:t>
            </w:r>
          </w:p>
        </w:tc>
        <w:tc>
          <w:tcPr>
            <w:tcW w:type="dxa" w:w="3519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Abattage, additifs, halal</w:t>
            </w:r>
          </w:p>
        </w:tc>
      </w:tr>
    </w:tbl>
    <w:p>
      <w:pPr>
        <w:pStyle w:val="Heading1"/>
        <w:spacing w:after="160" w:before="360"/>
      </w:pPr>
      <w:r>
        <w:rPr>
          <w:rFonts w:ascii="Times New Roman" w:cs="Traditional Arabic" w:hAnsi="Times New Roman"/>
          <w:b/>
          <w:bCs/>
          <w:color w:val="1F5C4A"/>
          <w:sz w:val="28"/>
          <w:szCs w:val="36"/>
          <w:rtl w:val="false"/>
        </w:rPr>
        <w:t xml:space="preserve">Tableau 3 : Traitement détaillé des thèmes</w:t>
      </w:r>
    </w:p>
    <w:p>
      <w:pPr>
        <w:pStyle w:val="Heading2"/>
        <w:spacing w:after="120" w:before="280"/>
      </w:pP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1. Les transactions financières (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/>
        </w:rPr>
        <w:t xml:space="preserve">المُعَامَلَاتُ المَالِيَّةُ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2300"/>
        <w:gridCol w:w="4838"/>
      </w:tblGrid>
      <w:tr>
        <w:trPr>
          <w:tblHeader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النَّازِلَةُ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La question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Position dominante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فَوَائِدُ البُنُوكِ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Intérêts bancaires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Assimilés au ribâ interdit (Académie internationale du fiqh, Djeddah, 1985).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المُرَابَحَةُ لِلْآمِرِ بِالشِّرَاءِ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Murabaha sur ordre d'achat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Permise si la banque possède réellement le bien et en assume le risque avant la revente (Académie, 1988).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التَّوَرُّقُ المَصْرِفِيُّ المُنَظَّمُ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Tawarruq bancaire organisé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Interdit, car il s'apparente à un prêt à intérêt déguisé (Rabita 2003 ; Académie 2009).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التَّأْمِينُ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Assurance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Assurance commerciale interdite pour cause de gharar ; assurance coopérative (takâful) permise (Académie, 1985).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الأَسْهُمُ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Actions en bourse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Permises dans les sociétés à activité licite ; débat sur les sociétés dites « mixtes ».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العُمْلَاتُ الرَّقْمِيَّةُ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Cryptomonnaies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Question débattue : interdiction par certaines instances (Dar al-Ifta d'Égypte, 2018), admission conditionnelle par d'autres.</w:t>
            </w:r>
          </w:p>
        </w:tc>
      </w:tr>
    </w:tbl>
    <w:p>
      <w:pPr>
        <w:pStyle w:val="Heading2"/>
        <w:spacing w:after="120" w:before="280"/>
      </w:pP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2. Les questions médicales (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/>
        </w:rPr>
        <w:t xml:space="preserve">النَّوَازِلُ الطِّبِّيَّةُ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2300"/>
        <w:gridCol w:w="4838"/>
      </w:tblGrid>
      <w:tr>
        <w:trPr>
          <w:tblHeader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النَّازِلَةُ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La question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Position dominante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زِرَاعَةُ الأَعْضَاءِ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Greffe d'organes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Permise par don, sans vente, en l'absence de danger pour le donneur (Académie, 1988).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مَوْتُ الدِّمَاغِ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Mort cérébrale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Considérée comme une mort au sens juridique par l'Académie (1986), avec des avis divergents.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أَطْفَالُ الأَنَابِيبِ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Fécondation in vitro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Permise uniquement entre époux, pendant le mariage, sans tiers (Académie, 1986).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الِاسْتِنْسَاخُ البَشَرِيُّ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Clonage humain reproductif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Interdit (Académie, 1997).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بُنُوكُ الحَلِيبِ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Banques de lait maternel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Interdites en raison de la parenté de lait (Académie, 1985).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التَّطْعِيمُ وَالأَوْبِئَةُ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Vaccination, épidémies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Recommandée ou obligatoire au nom de la préservation de la vie ; suspension possible des prières collectives (Covid-19).</w:t>
            </w:r>
          </w:p>
        </w:tc>
      </w:tr>
    </w:tbl>
    <w:p>
      <w:pPr>
        <w:pStyle w:val="Heading2"/>
        <w:spacing w:after="120" w:before="280"/>
      </w:pP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3. Les rites (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/>
        </w:rPr>
        <w:t xml:space="preserve">العِبَادَاتُ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2300"/>
        <w:gridCol w:w="4838"/>
      </w:tblGrid>
      <w:tr>
        <w:trPr>
          <w:tblHeader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النَّازِلَةُ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La question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Position dominante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الصَّلَاةُ وَالصِّيَامُ فِي المَنَاطِقِ القُطْبِيَّةِ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Prière et jeûne aux hautes latitudes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Estimation des horaires (taqdîr) sur la région tempérée la plus proche ou sur La Mecque.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الصَّلَاةُ فِي الطَّائِرَةِ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Prière en avion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Valide, en s'orientant vers la qibla autant que possible.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الحِسَابُ الفَلَكِيُّ وَإِثْبَاتُ الهِلَالِ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Calcul astronomique et croissant lunaire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Débat entre vision oculaire et calcul ; le calcul est largement admis pour infirmer une vision impossible.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زَكَاةُ الرَّوَاتِبِ وَالأَسْهُمِ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Zakât des salaires et des actions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Due sur l'épargne atteignant le nisâb ; zakât des actions selon leur valeur marchande ou leurs actifs zakatables.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رَمْيُ الجَمَرَاتِ وَالزِّحَامُ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Hajj et affluence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Assouplissements sur les horaires de lapidation et la délégation pour préserver les vies.</w:t>
            </w:r>
          </w:p>
        </w:tc>
      </w:tr>
    </w:tbl>
    <w:p>
      <w:pPr>
        <w:pStyle w:val="Heading2"/>
        <w:spacing w:after="120" w:before="280"/>
      </w:pP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4. La famille (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/>
        </w:rPr>
        <w:t xml:space="preserve">الأُسْرَةُ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2300"/>
        <w:gridCol w:w="4838"/>
      </w:tblGrid>
      <w:tr>
        <w:trPr>
          <w:tblHeader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النَّازِلَةُ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La question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Position dominante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عَقْدُ الزَّوَاجِ عَبْرَ وَسَائِلِ الِاتِّصَالِ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Mariage conclu à distance (internet)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Exclu du régime des contrats à distance, en raison de l'exigence des témoins (Académie, 1990).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زَوَاجُ المِسْيَارِ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Mariage misyâr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Contrat valide pour beaucoup, mais jugé socialement critiquable.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تَنْظِيمُ النَّسْلِ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Planification familiale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Espacement des naissances permis ; limitation générale imposée interdite (Académie, 1988).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البَصْمَةُ الوِرَاثِيَّةُ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Test ADN et filiation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Accepté comme preuve, sans remplacer le li'ân (Rabita, 2002).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الفَحْصُ الطِّبِّيُّ قَبْلَ الزَّوَاجِ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Examen médical prénuptial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Encouragé ; son caractère obligatoire relève de la politique de l'État.</w:t>
            </w:r>
          </w:p>
        </w:tc>
      </w:tr>
    </w:tbl>
    <w:p>
      <w:pPr>
        <w:pStyle w:val="Heading2"/>
        <w:spacing w:after="120" w:before="280"/>
      </w:pP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5. Les minorités musulmanes (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/>
        </w:rPr>
        <w:t xml:space="preserve">الأَقَلِّيَّاتُ المُسْلِمَةُ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2300"/>
        <w:gridCol w:w="4838"/>
      </w:tblGrid>
      <w:tr>
        <w:trPr>
          <w:tblHeader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النَّازِلَةُ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La question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Position dominante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الإِقَامَةُ فِي بِلَادِ غَيْرِ المُسْلِمِينَ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Résidence en pays non musulman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Permise si l'on peut pratiquer sa religion.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المُشَارَكَةُ السِّيَاسِيَّةُ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Vote et participation politique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Largement admise pour défendre les intérêts de la communauté.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تَهْنِئَةُ غَيْرِ المُسْلِمِينَ بِأَعْيَادِهِمْ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Vœux lors des fêtes non musulmanes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Divergence ; admise par le Conseil européen de la fatwa au titre de la bienfaisance (birr).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القُرُوضُ السَّكَنِيَّةُ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Prêts immobiliers à intérêt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Autorisés par exception par le Conseil européen en cas de besoin impérieux, et contestés par d'autres instances.</w:t>
            </w:r>
          </w:p>
        </w:tc>
      </w:tr>
    </w:tbl>
    <w:p>
      <w:pPr>
        <w:pStyle w:val="Heading2"/>
        <w:spacing w:after="120" w:before="280"/>
      </w:pP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6. Le fiqh politique (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/>
        </w:rPr>
        <w:t xml:space="preserve">الفِقْهُ السِّيَاسِيُّ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2300"/>
        <w:gridCol w:w="4838"/>
      </w:tblGrid>
      <w:tr>
        <w:trPr>
          <w:tblHeader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النَّازِلَةُ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La question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Position dominante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الشُّورَى وَالدِّيمُقْرَاطِيَّةُ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Choura et démocratie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Rapprochement admis par de nombreux savants sur les mécanismes électoraux.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المُوَاطَنَةُ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Citoyenneté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Égalité des droits et devoirs entre citoyens (cf. Déclaration de Marrakech, 2016).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حُقُوقُ الإِنْسَانِ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Droits de l'homme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Lecture à travers les maqâsid : préservation de la vie, de la raison, de la dignité.</w:t>
            </w:r>
          </w:p>
        </w:tc>
      </w:tr>
    </w:tbl>
    <w:p>
      <w:pPr>
        <w:pStyle w:val="Heading2"/>
        <w:spacing w:after="120" w:before="280"/>
      </w:pP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7. Le numérique (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/>
        </w:rPr>
        <w:t xml:space="preserve">النَّوَازِلُ الرَّقْمِيَّةُ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2300"/>
        <w:gridCol w:w="4838"/>
      </w:tblGrid>
      <w:tr>
        <w:trPr>
          <w:tblHeader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النَّازِلَةُ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La question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Position dominante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التِّجَارَةُ الإِلِكْتُرُونِيَّةُ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Commerce en ligne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Contrats valides, assimilés au contrat entre absents (Académie, 1990).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حُقُوقُ المِلْكِيَّةِ الفِكْرِيَّةِ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Propriété intellectuelle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Droits protégés et monnayables ; le piratage est interdit (Académie, 1988).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الخُصُوصِيَّةُ وَالبَيَانَاتُ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Vie privée et données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Interdiction de l'espionnage (tajassus) et de l'atteinte à l'honneur.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الذَّكَاءُ الِاصْطِنَاعِيُّ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Intelligence artificielle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Pas de position arrêtée ; encadrement par les maqâsid, la responsabilité humaine et la prévention des préjudices.</w:t>
            </w:r>
          </w:p>
        </w:tc>
      </w:tr>
    </w:tbl>
    <w:p>
      <w:pPr>
        <w:pStyle w:val="Heading2"/>
        <w:spacing w:after="120" w:before="280"/>
      </w:pP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8. L'environnement (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/>
        </w:rPr>
        <w:t xml:space="preserve">البِيئَةُ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2300"/>
        <w:gridCol w:w="4838"/>
      </w:tblGrid>
      <w:tr>
        <w:trPr>
          <w:tblHeader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النَّازِلَةُ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La question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Position dominante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التَّلَوُّثُ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Pollution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Interdite au nom de la règle « </w:t>
            </w: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/>
              </w:rPr>
              <w:t xml:space="preserve">لَا ضَرَرَ وَلَا ضِرَارَ</w:t>
            </w: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 ».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المِيَاهُ المُعَالَجَةُ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Eaux usées retraitées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Purifiées si leurs propriétés altérées ont disparu (Rabita).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الإِسْرَافُ فِي المَوَارِدِ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Gaspillage des ressources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Interdit, y compris pour l'eau des ablutions.</w:t>
            </w:r>
          </w:p>
        </w:tc>
      </w:tr>
    </w:tbl>
    <w:p>
      <w:pPr>
        <w:pStyle w:val="Heading2"/>
        <w:spacing w:after="120" w:before="280"/>
      </w:pP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9. Alimentation et médicaments (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/>
        </w:rPr>
        <w:t xml:space="preserve">الأَطْعِمَةُ وَالأَدْوِيَةُ</w:t>
      </w:r>
      <w:r>
        <w:rPr>
          <w:rFonts w:ascii="Times New Roman" w:cs="Traditional Arabic" w:hAnsi="Times New Roman"/>
          <w:b/>
          <w:bCs/>
          <w:color w:val="1F5C4A"/>
          <w:sz w:val="24"/>
          <w:szCs w:val="32"/>
          <w:rtl w:val="false"/>
        </w:rPr>
        <w:t xml:space="preserve">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2300"/>
        <w:gridCol w:w="4838"/>
      </w:tblGrid>
      <w:tr>
        <w:trPr>
          <w:tblHeader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النَّازِلَةُ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La question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Position dominante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الذَّبْحُ الآلِيُّ وَالصَّعْقُ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Abattage mécanique et étourdissement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Étourdissement toléré s'il ne tue pas l'animal avant l'égorgement.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الجِيلَاتِينُ وَالِاسْتِحَالَةُ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Gélatine et transformation chimique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Divergence selon l'admission de la transformation (istihâla) comme cause de pureté.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الكُحُولُ فِي الأَدْوِيَةِ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Alcool dans les médicaments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Toléré en quantité infime non enivrante ou en cas de nécessité.</w:t>
            </w:r>
          </w:p>
        </w:tc>
      </w:tr>
    </w:tbl>
    <w:p>
      <w:pPr>
        <w:pStyle w:val="Heading1"/>
        <w:spacing w:after="160" w:before="360"/>
      </w:pPr>
      <w:r>
        <w:rPr>
          <w:rFonts w:ascii="Times New Roman" w:cs="Traditional Arabic" w:hAnsi="Times New Roman"/>
          <w:b/>
          <w:bCs/>
          <w:color w:val="1F5C4A"/>
          <w:sz w:val="28"/>
          <w:szCs w:val="36"/>
          <w:rtl w:val="false"/>
        </w:rPr>
        <w:t xml:space="preserve">Tableau 4 : Outils méthodologiques du fiqh contemporain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2300"/>
        <w:gridCol w:w="4838"/>
      </w:tblGrid>
      <w:tr>
        <w:trPr>
          <w:tblHeader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الأَدَاةُ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L'outil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Fonction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الِاجْتِهَادُ الجَمَاعِيُّ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Ijtihad collectif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Décision rendue par des académies avec des savants et des experts.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تَحْقِيقُ المَنَاطِ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Vérification de la cause légale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Examiner si la raison d'une règle est présente dans le cas nouveau.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التَّخْرِيجُ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Extrapolation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Rattacher la question nouvelle aux avis des écoles classiques.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اعْتِبَارُ المَآلَاتِ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Prise en compte des conséquences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Évaluer les effets prévisibles d'un avis.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الضَّرُورَةُ وَالحَاجَةُ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Nécessité et besoin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Assouplir la règle dans les limites de la nécessité.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العُرْفُ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Coutume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Tenir compte des usages locaux non contraires aux textes.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مَقَاصِدُ الشَّرِيعَةِ</w:t>
            </w:r>
          </w:p>
        </w:tc>
        <w:tc>
          <w:tcPr>
            <w:tcW w:type="dxa" w:w="23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Finalités de la Charia</w:t>
            </w:r>
          </w:p>
        </w:tc>
        <w:tc>
          <w:tcPr>
            <w:tcW w:type="dxa" w:w="4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Orienter le jugement vers la préservation des cinq nécessités.</w:t>
            </w:r>
          </w:p>
        </w:tc>
      </w:tr>
    </w:tbl>
    <w:p>
      <w:pPr>
        <w:pStyle w:val="Heading1"/>
        <w:spacing w:after="160" w:before="360"/>
      </w:pPr>
      <w:r>
        <w:rPr>
          <w:rFonts w:ascii="Times New Roman" w:cs="Traditional Arabic" w:hAnsi="Times New Roman"/>
          <w:b/>
          <w:bCs/>
          <w:color w:val="1F5C4A"/>
          <w:sz w:val="28"/>
          <w:szCs w:val="36"/>
          <w:rtl w:val="false"/>
        </w:rPr>
        <w:t xml:space="preserve">Tableau 5 : Principales instances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838"/>
        <w:gridCol w:w="2200"/>
      </w:tblGrid>
      <w:tr>
        <w:trPr>
          <w:tblHeader/>
        </w:trPr>
        <w:tc>
          <w:tcPr>
            <w:tcW w:type="dxa" w:w="3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/>
              </w:rPr>
              <w:t xml:space="preserve">المُؤَسَّسَةُ</w:t>
            </w:r>
          </w:p>
        </w:tc>
        <w:tc>
          <w:tcPr>
            <w:tcW w:type="dxa" w:w="3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Institution</w:t>
            </w:r>
          </w:p>
        </w:tc>
        <w:tc>
          <w:tcPr>
            <w:tcW w:type="dxa" w:w="22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1F5C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center"/>
            </w:pPr>
            <w:r>
              <w:rPr>
                <w:rFonts w:ascii="Times New Roman" w:cs="Traditional Arabic" w:hAnsi="Times New Roman"/>
                <w:b/>
                <w:bCs/>
                <w:color w:val="FFFFFF"/>
                <w:sz w:val="22"/>
                <w:szCs w:val="30"/>
                <w:rtl w:val="false"/>
              </w:rPr>
              <w:t xml:space="preserve">Siège / création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مَجْمَعُ الفِقْهِ الإِسْلَامِيِّ الدَّوْلِيُّ</w:t>
            </w:r>
          </w:p>
        </w:tc>
        <w:tc>
          <w:tcPr>
            <w:tcW w:type="dxa" w:w="3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Académie internationale du fiqh islamique (OCI)</w:t>
            </w:r>
          </w:p>
        </w:tc>
        <w:tc>
          <w:tcPr>
            <w:tcW w:type="dxa" w:w="22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Djeddah, 1981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المَجْمَعُ الفِقْهِيُّ الإِسْلَامِيُّ</w:t>
            </w:r>
          </w:p>
        </w:tc>
        <w:tc>
          <w:tcPr>
            <w:tcW w:type="dxa" w:w="3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Académie du fiqh de la Ligue islamique mondiale</w:t>
            </w:r>
          </w:p>
        </w:tc>
        <w:tc>
          <w:tcPr>
            <w:tcW w:type="dxa" w:w="22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La Mecque, 1977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المَجْلِسُ الأُورُوبِّيُّ لِلْإِفْتَاءِ وَالبُحُوثِ</w:t>
            </w:r>
          </w:p>
        </w:tc>
        <w:tc>
          <w:tcPr>
            <w:tcW w:type="dxa" w:w="3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Conseil européen de la fatwa et de la recherche</w:t>
            </w:r>
          </w:p>
        </w:tc>
        <w:tc>
          <w:tcPr>
            <w:tcW w:type="dxa" w:w="22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Dublin, 1997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هَيْئَةُ المُحَاسَبَةِ وَالمُرَاجَعَةِ لِلْمُؤَسَّسَاتِ المَالِيَّةِ الإِسْلَامِيَّةِ</w:t>
            </w:r>
          </w:p>
        </w:tc>
        <w:tc>
          <w:tcPr>
            <w:tcW w:type="dxa" w:w="3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AAOIFI — normes de la finance islamique</w:t>
            </w:r>
          </w:p>
        </w:tc>
        <w:tc>
          <w:tcPr>
            <w:tcW w:type="dxa" w:w="22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shd w:fill="E8F1E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Bahreïn, 1991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/>
              <w:spacing w:after="40" w:before="40" w:line="276"/>
              <w:jc w:val="right"/>
            </w:pPr>
            <w:r>
              <w:rPr>
                <w:rFonts w:ascii="Times New Roman" w:cs="Traditional Arabic" w:hAnsi="Times New Roman"/>
                <w:b/>
                <w:bCs/>
                <w:sz w:val="22"/>
                <w:szCs w:val="30"/>
                <w:rtl/>
              </w:rPr>
              <w:t xml:space="preserve">مَجْمَعُ البُحُوثِ الإِسْلَامِيَّةِ</w:t>
            </w:r>
          </w:p>
        </w:tc>
        <w:tc>
          <w:tcPr>
            <w:tcW w:type="dxa" w:w="3838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Académie de recherches islamiques d'Al-Azhar</w:t>
            </w:r>
          </w:p>
        </w:tc>
        <w:tc>
          <w:tcPr>
            <w:tcW w:type="dxa" w:w="2200"/>
            <w:tcBorders>
              <w:top w:val="single" w:color="9DB8AC" w:sz="4"/>
              <w:left w:val="single" w:color="9DB8AC" w:sz="4"/>
              <w:bottom w:val="single" w:color="9DB8AC" w:sz="4"/>
              <w:right w:val="single" w:color="9DB8A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bidi w:val="false"/>
              <w:spacing w:after="40" w:before="40" w:line="276"/>
              <w:jc w:val="left"/>
            </w:pPr>
            <w:r>
              <w:rPr>
                <w:rFonts w:ascii="Times New Roman" w:cs="Traditional Arabic" w:hAnsi="Times New Roman"/>
                <w:b w:val="false"/>
                <w:sz w:val="22"/>
                <w:szCs w:val="30"/>
                <w:rtl w:val="false"/>
              </w:rPr>
              <w:t xml:space="preserve">Le Caire</w:t>
            </w:r>
          </w:p>
        </w:tc>
      </w:tr>
    </w:tbl>
    <w:p>
      <w:pPr>
        <w:pStyle w:val="Heading1"/>
        <w:spacing w:after="160" w:before="360"/>
      </w:pPr>
      <w:r>
        <w:rPr>
          <w:rFonts w:ascii="Times New Roman" w:cs="Traditional Arabic" w:hAnsi="Times New Roman"/>
          <w:b/>
          <w:bCs/>
          <w:color w:val="1F5C4A"/>
          <w:sz w:val="28"/>
          <w:szCs w:val="36"/>
          <w:rtl w:val="false"/>
        </w:rPr>
        <w:t xml:space="preserve">Références de base</w:t>
      </w:r>
    </w:p>
    <w:p>
      <w:pPr>
        <w:spacing w:after="80"/>
        <w:ind w:left="567" w:hanging="567"/>
      </w:pPr>
      <w:r>
        <w:rPr>
          <w:rFonts w:ascii="Times New Roman" w:cs="Traditional Arabic" w:hAnsi="Times New Roman"/>
          <w:sz w:val="22"/>
          <w:szCs w:val="30"/>
          <w:rtl w:val="false"/>
        </w:rPr>
        <w:t xml:space="preserve">AL-ZUHAYLÎ, Wahba. al-Fiqh al-islâmî wa adillatuh. Damas : Dâr al-Fikr.</w:t>
      </w:r>
    </w:p>
    <w:p>
      <w:pPr>
        <w:spacing w:after="80"/>
        <w:ind w:left="567" w:hanging="567"/>
      </w:pPr>
      <w:r>
        <w:rPr>
          <w:rFonts w:ascii="Times New Roman" w:cs="Traditional Arabic" w:hAnsi="Times New Roman"/>
          <w:sz w:val="22"/>
          <w:szCs w:val="30"/>
          <w:rtl w:val="false"/>
        </w:rPr>
        <w:t xml:space="preserve">AL-ZUHAYLÎ, Wahba. Qadâyâ al-fiqh wa al-fikr al-mu'âsir. Damas : Dâr al-Fikr.</w:t>
      </w:r>
    </w:p>
    <w:p>
      <w:pPr>
        <w:spacing w:after="80"/>
        <w:ind w:left="567" w:hanging="567"/>
      </w:pPr>
      <w:r>
        <w:rPr>
          <w:rFonts w:ascii="Times New Roman" w:cs="Traditional Arabic" w:hAnsi="Times New Roman"/>
          <w:sz w:val="22"/>
          <w:szCs w:val="30"/>
          <w:rtl w:val="false"/>
        </w:rPr>
        <w:t xml:space="preserve">ABÛ ZAYD, Bakr. Fiqh al-nawâzil. Beyrouth : Mu'assasat al-Risâla.</w:t>
      </w:r>
    </w:p>
    <w:p>
      <w:pPr>
        <w:spacing w:after="80"/>
        <w:ind w:left="567" w:hanging="567"/>
      </w:pPr>
      <w:r>
        <w:rPr>
          <w:rFonts w:ascii="Times New Roman" w:cs="Traditional Arabic" w:hAnsi="Times New Roman"/>
          <w:sz w:val="22"/>
          <w:szCs w:val="30"/>
          <w:rtl w:val="false"/>
        </w:rPr>
        <w:t xml:space="preserve">SHUBAYR, Muhammad 'Uthmân. al-Mu'âmalât al-mâliyya al-mu'âsira fî al-fiqh al-islâmî. Amman : Dâr al-Nafâ'is.</w:t>
      </w:r>
    </w:p>
    <w:p>
      <w:pPr>
        <w:spacing w:after="80"/>
        <w:ind w:left="567" w:hanging="567"/>
      </w:pPr>
      <w:r>
        <w:rPr>
          <w:rFonts w:ascii="Times New Roman" w:cs="Traditional Arabic" w:hAnsi="Times New Roman"/>
          <w:sz w:val="22"/>
          <w:szCs w:val="30"/>
          <w:rtl w:val="false"/>
        </w:rPr>
        <w:t xml:space="preserve">AL-QARADÂWÎ, Yûsuf. Fiqh al-zakât. Beyrouth : Mu'assasat al-Risâla.</w:t>
      </w:r>
    </w:p>
    <w:p>
      <w:pPr>
        <w:spacing w:after="80"/>
        <w:ind w:left="567" w:hanging="567"/>
      </w:pPr>
      <w:r>
        <w:rPr>
          <w:rFonts w:ascii="Times New Roman" w:cs="Traditional Arabic" w:hAnsi="Times New Roman"/>
          <w:sz w:val="22"/>
          <w:szCs w:val="30"/>
          <w:rtl w:val="false"/>
        </w:rPr>
        <w:t xml:space="preserve">Majallat Majma' al-Fiqh al-Islâmî (revue de l'Académie internationale du fiqh islamique, Djeddah) : recueil des résolutions.</w:t>
      </w:r>
    </w:p>
    <w:p>
      <w:pPr>
        <w:spacing w:after="80"/>
      </w:pPr>
    </w:p>
    <w:p>
      <w:pPr>
        <w:spacing w:before="160"/>
      </w:pPr>
      <w:r>
        <w:rPr>
          <w:rFonts w:ascii="Times New Roman" w:cs="Traditional Arabic" w:hAnsi="Times New Roman"/>
          <w:i/>
          <w:iCs/>
          <w:sz w:val="20"/>
          <w:szCs w:val="28"/>
          <w:rtl w:val="false"/>
        </w:rPr>
        <w:t xml:space="preserve">Note : les années des résolutions sont données à titre de repère ; les numéros exacts sont à vérifier dans la revue de l'Académie avant toute publication.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raditional Arabic" w:hAnsi="Times New Roman"/>
        <w:i/>
        <w:iCs/>
        <w:color w:val="777777"/>
        <w:sz w:val="18"/>
        <w:szCs w:val="22"/>
        <w:rtl w:val="false"/>
      </w:rPr>
      <w:t xml:space="preserve">Le Fiqh contemporain — </w:t>
    </w:r>
    <w:r>
      <w:rPr>
        <w:rFonts w:ascii="Times New Roman" w:cs="Traditional Arabic" w:hAnsi="Times New Roman"/>
        <w:i/>
        <w:iCs/>
        <w:color w:val="777777"/>
        <w:sz w:val="18"/>
        <w:szCs w:val="22"/>
        <w:rtl/>
      </w:rPr>
      <w:t xml:space="preserve">الفِقْهُ المُعَاصِرُ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Fiqh contemporain</dc:title>
  <dc:creator>Moussa</dc:creator>
  <cp:lastModifiedBy>Un-named</cp:lastModifiedBy>
  <cp:revision>1</cp:revision>
  <dcterms:created xsi:type="dcterms:W3CDTF">2026-09-27T11:43:31.588Z</dcterms:created>
  <dcterms:modified xsi:type="dcterms:W3CDTF">2026-09-27T11:43:31.588Z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